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napToGrid/>
        <w:spacing w:line="580" w:lineRule="exact"/>
        <w:ind w:left="0" w:leftChars="0" w:right="0" w:rightChars="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4</w:t>
      </w:r>
    </w:p>
    <w:p>
      <w:pPr>
        <w:pStyle w:val="3"/>
        <w:keepNext w:val="0"/>
        <w:keepLines w:val="0"/>
        <w:pageBreakBefore w:val="0"/>
        <w:widowControl w:val="0"/>
        <w:kinsoku/>
        <w:wordWrap/>
        <w:overflowPunct/>
        <w:topLinePunct w:val="0"/>
        <w:autoSpaceDE/>
        <w:autoSpaceDN/>
        <w:bidi w:val="0"/>
        <w:snapToGrid/>
        <w:spacing w:line="580" w:lineRule="exact"/>
        <w:ind w:left="0" w:leftChars="0" w:right="0" w:rightChars="0"/>
        <w:textAlignment w:val="auto"/>
        <w:outlineLvl w:val="9"/>
        <w:rPr>
          <w:rFonts w:hint="eastAsia"/>
          <w:lang w:val="en-US" w:eastAsia="zh-CN"/>
        </w:rPr>
      </w:pPr>
    </w:p>
    <w:p>
      <w:pPr>
        <w:pStyle w:val="2"/>
        <w:keepNext w:val="0"/>
        <w:keepLines w:val="0"/>
        <w:pageBreakBefore w:val="0"/>
        <w:widowControl w:val="0"/>
        <w:kinsoku/>
        <w:wordWrap/>
        <w:overflowPunct/>
        <w:topLinePunct w:val="0"/>
        <w:autoSpaceDE/>
        <w:autoSpaceDN/>
        <w:bidi w:val="0"/>
        <w:snapToGrid/>
        <w:spacing w:beforeLines="0" w:line="58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bookmarkStart w:id="0" w:name="_GoBack"/>
      <w:r>
        <w:rPr>
          <w:rFonts w:hint="eastAsia" w:ascii="方正小标宋简体" w:hAnsi="方正小标宋简体" w:eastAsia="方正小标宋简体" w:cs="方正小标宋简体"/>
          <w:sz w:val="44"/>
          <w:szCs w:val="44"/>
          <w:lang w:val="en-US" w:eastAsia="zh-CN"/>
        </w:rPr>
        <w:t>工业企业综合评价基础数据取数说明</w:t>
      </w:r>
      <w:bookmarkEnd w:id="0"/>
    </w:p>
    <w:p>
      <w:pPr>
        <w:keepNext w:val="0"/>
        <w:keepLines w:val="0"/>
        <w:pageBreakBefore w:val="0"/>
        <w:widowControl w:val="0"/>
        <w:kinsoku/>
        <w:wordWrap/>
        <w:overflowPunct/>
        <w:topLinePunct w:val="0"/>
        <w:autoSpaceDE/>
        <w:autoSpaceDN/>
        <w:bidi w:val="0"/>
        <w:snapToGrid/>
        <w:spacing w:line="580" w:lineRule="exact"/>
        <w:ind w:left="0" w:leftChars="0" w:right="0" w:rightChars="0"/>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val="0"/>
        <w:snapToGrid/>
        <w:spacing w:line="58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实际</w:t>
      </w:r>
      <w:r>
        <w:rPr>
          <w:rFonts w:hint="eastAsia" w:ascii="仿宋_GB2312" w:hAnsi="仿宋_GB2312" w:eastAsia="仿宋_GB2312" w:cs="仿宋_GB2312"/>
          <w:sz w:val="32"/>
          <w:szCs w:val="32"/>
        </w:rPr>
        <w:t>用地面积。以依法取得为前提、实际占用为原则，指年末企业实际占用的土地面积。用地面积=已登记用地面积+承租用地面积—出租用地面积。其中：（1）已登记用地面积：是指企业经</w:t>
      </w:r>
      <w:r>
        <w:rPr>
          <w:rFonts w:hint="eastAsia" w:ascii="仿宋_GB2312" w:hAnsi="仿宋_GB2312" w:eastAsia="仿宋_GB2312" w:cs="仿宋_GB2312"/>
          <w:sz w:val="32"/>
          <w:szCs w:val="32"/>
          <w:lang w:eastAsia="zh-CN"/>
        </w:rPr>
        <w:t>不动产登记</w:t>
      </w:r>
      <w:r>
        <w:rPr>
          <w:rFonts w:hint="eastAsia" w:ascii="仿宋_GB2312" w:hAnsi="仿宋_GB2312" w:eastAsia="仿宋_GB2312" w:cs="仿宋_GB2312"/>
          <w:sz w:val="32"/>
          <w:szCs w:val="32"/>
        </w:rPr>
        <w:t>部门登记的土地面积；（2）承租用地面积：是指企业依法租赁取得的实际用地面积，若企业租赁标准厂房或无法准确计算用地面积，则根据企业租赁的建筑面积与容积率之比计算企业租赁的用地面积；（3）出租用地面积：是指工业企业依法将自用土地或厂房出租给其他企业且亩均税收达到平均标准以上的用地面积。</w:t>
      </w:r>
    </w:p>
    <w:p>
      <w:pPr>
        <w:keepNext w:val="0"/>
        <w:keepLines w:val="0"/>
        <w:pageBreakBefore w:val="0"/>
        <w:widowControl w:val="0"/>
        <w:kinsoku/>
        <w:wordWrap/>
        <w:overflowPunct/>
        <w:topLinePunct w:val="0"/>
        <w:autoSpaceDE/>
        <w:autoSpaceDN/>
        <w:bidi w:val="0"/>
        <w:adjustRightInd w:val="0"/>
        <w:snapToGrid/>
        <w:spacing w:line="58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税收实际贡献。指企业税费“实际入库数”合计，即“净入库数”合计。“实际入库数”中包含 13 项税（费）种：增值税、消费税、企业所得税、个人所得税、房产税、城镇土地使用税、土地增值税、印花税、城市维护建设税、车船税、资源税，教育费附加、地方教育附加。其中：增值税实际入库数=增值税直接净入库税收+生产型出口企业发生的“免抵”税额（含应调未调部分）。</w:t>
      </w:r>
    </w:p>
    <w:p>
      <w:pPr>
        <w:keepNext w:val="0"/>
        <w:keepLines w:val="0"/>
        <w:pageBreakBefore w:val="0"/>
        <w:widowControl w:val="0"/>
        <w:kinsoku/>
        <w:wordWrap/>
        <w:overflowPunct/>
        <w:topLinePunct w:val="0"/>
        <w:autoSpaceDE/>
        <w:autoSpaceDN/>
        <w:bidi w:val="0"/>
        <w:adjustRightInd w:val="0"/>
        <w:snapToGrid/>
        <w:spacing w:line="58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工业增加值。指工业企业生产过程中新增加的价值。工业增加值按收入法计算，由统计部门根据年报数据进行核实。</w:t>
      </w:r>
    </w:p>
    <w:p>
      <w:pPr>
        <w:keepNext w:val="0"/>
        <w:keepLines w:val="0"/>
        <w:pageBreakBefore w:val="0"/>
        <w:widowControl w:val="0"/>
        <w:kinsoku/>
        <w:wordWrap/>
        <w:overflowPunct/>
        <w:topLinePunct w:val="0"/>
        <w:autoSpaceDE/>
        <w:autoSpaceDN/>
        <w:bidi w:val="0"/>
        <w:adjustRightInd w:val="0"/>
        <w:snapToGrid/>
        <w:spacing w:line="58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综合能耗。指工业企业在工业生产活动中和非工业生产活动中消费的能源，包括工业生产活动中作为燃料、动力、原料、辅助材料使用的能源，生产工艺中使用的能源，用于能源加工转化的能源；非工业生产活动中使用的能源。综合能耗按等价计算，由统计部门根据年报数据进行核实。</w:t>
      </w:r>
    </w:p>
    <w:p>
      <w:pPr>
        <w:keepNext w:val="0"/>
        <w:keepLines w:val="0"/>
        <w:pageBreakBefore w:val="0"/>
        <w:widowControl w:val="0"/>
        <w:kinsoku/>
        <w:wordWrap/>
        <w:overflowPunct/>
        <w:topLinePunct w:val="0"/>
        <w:autoSpaceDE/>
        <w:autoSpaceDN/>
        <w:bidi w:val="0"/>
        <w:adjustRightInd w:val="0"/>
        <w:snapToGrid/>
        <w:spacing w:line="58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主要污染物排放量。主要污染物排放量为化学需氧量排放量、氨氮排放量、二氧化硫排放量、氮氧化物排放量四项排放量之和。由环保部门负责提供。</w:t>
      </w:r>
    </w:p>
    <w:p>
      <w:pPr>
        <w:keepNext w:val="0"/>
        <w:keepLines w:val="0"/>
        <w:pageBreakBefore w:val="0"/>
        <w:widowControl w:val="0"/>
        <w:kinsoku/>
        <w:wordWrap/>
        <w:overflowPunct/>
        <w:topLinePunct w:val="0"/>
        <w:autoSpaceDE/>
        <w:autoSpaceDN/>
        <w:bidi w:val="0"/>
        <w:adjustRightInd w:val="0"/>
        <w:snapToGrid/>
        <w:spacing w:line="58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R&amp;D经费支出。研究与试验发展（R&amp;D）经费支出指统计年度内全社会实际用于基础研究、应用研究和试验发展的经费支出。包括实际用于研究与试验发展活动的人员劳务费、原材料费、固定资产购建费、管理费及其他费用支出。由统计部门根据年报数据进行核实。</w:t>
      </w:r>
    </w:p>
    <w:p>
      <w:pPr>
        <w:keepNext w:val="0"/>
        <w:keepLines w:val="0"/>
        <w:pageBreakBefore w:val="0"/>
        <w:widowControl w:val="0"/>
        <w:kinsoku/>
        <w:wordWrap/>
        <w:overflowPunct/>
        <w:topLinePunct w:val="0"/>
        <w:autoSpaceDE/>
        <w:autoSpaceDN/>
        <w:bidi w:val="0"/>
        <w:adjustRightInd w:val="0"/>
        <w:snapToGrid/>
        <w:spacing w:line="58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主营业务收入。企业经常性的、主要业务所产生的基本收入。由统计部门根据年报数据进行核实。</w:t>
      </w:r>
    </w:p>
    <w:p>
      <w:pPr>
        <w:keepNext w:val="0"/>
        <w:keepLines w:val="0"/>
        <w:pageBreakBefore w:val="0"/>
        <w:widowControl w:val="0"/>
        <w:kinsoku/>
        <w:wordWrap/>
        <w:overflowPunct/>
        <w:topLinePunct w:val="0"/>
        <w:autoSpaceDE/>
        <w:autoSpaceDN/>
        <w:bidi w:val="0"/>
        <w:adjustRightInd w:val="0"/>
        <w:snapToGrid/>
        <w:spacing w:line="58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年平均职工人数。指企业年度平均从业人员数。由统计部门根据年报数据进行核实。</w:t>
      </w:r>
    </w:p>
    <w:p/>
    <w:sectPr>
      <w:pgSz w:w="16838" w:h="11906" w:orient="landscape"/>
      <w:pgMar w:top="1800" w:right="1440" w:bottom="1800" w:left="144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Cambria">
    <w:panose1 w:val="02040503050406030204"/>
    <w:charset w:val="00"/>
    <w:family w:val="roman"/>
    <w:pitch w:val="default"/>
    <w:sig w:usb0="E00006FF" w:usb1="420024FF" w:usb2="02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RkYzQ1M2EyNWRjNGQ3ZDIzNzE1ZDIzNWI4NjVhMmMifQ=="/>
  </w:docVars>
  <w:rsids>
    <w:rsidRoot w:val="00000000"/>
    <w:rsid w:val="241430A6"/>
    <w:rsid w:val="2A9D36CA"/>
    <w:rsid w:val="32625925"/>
    <w:rsid w:val="445A3BBF"/>
    <w:rsid w:val="577059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正文1"/>
    <w:basedOn w:val="1"/>
    <w:next w:val="1"/>
    <w:qFormat/>
    <w:uiPriority w:val="0"/>
    <w:pPr>
      <w:spacing w:beforeLines="50" w:line="360" w:lineRule="auto"/>
      <w:ind w:firstLine="420" w:firstLineChars="200"/>
    </w:pPr>
    <w:rPr>
      <w:rFonts w:ascii="宋体" w:hAnsi="宋体"/>
      <w:iCs/>
      <w:sz w:val="24"/>
      <w:szCs w:val="21"/>
    </w:rPr>
  </w:style>
  <w:style w:type="paragraph" w:styleId="3">
    <w:name w:val="caption"/>
    <w:basedOn w:val="1"/>
    <w:next w:val="1"/>
    <w:unhideWhenUsed/>
    <w:qFormat/>
    <w:uiPriority w:val="0"/>
    <w:rPr>
      <w:rFonts w:ascii="Cambria" w:hAnsi="Cambria" w:eastAsia="黑体"/>
      <w:sz w:val="20"/>
      <w:szCs w:val="20"/>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67</Words>
  <Characters>67</Characters>
  <Lines>0</Lines>
  <Paragraphs>0</Paragraphs>
  <TotalTime>1</TotalTime>
  <ScaleCrop>false</ScaleCrop>
  <LinksUpToDate>false</LinksUpToDate>
  <CharactersWithSpaces>67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2023-06-15T11:08:00Z</dcterms:created>
  <dc:creator>lenovo11</dc:creator>
  <cp:lastModifiedBy>寶 </cp:lastModifiedBy>
  <dcterms:modified xsi:type="dcterms:W3CDTF">2023-08-09T05:03:59Z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3F80FC3E72CF4F4096D149F1755AB2E8_13</vt:lpwstr>
  </property>
</Properties>
</file>